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B86" w:rsidRPr="00415B86" w:rsidRDefault="00415B86" w:rsidP="00415B86">
      <w:pPr>
        <w:pStyle w:val="a3"/>
        <w:shd w:val="clear" w:color="auto" w:fill="FFFFFF"/>
        <w:spacing w:before="0" w:beforeAutospacing="0" w:after="75" w:afterAutospacing="0" w:line="600" w:lineRule="atLeast"/>
        <w:rPr>
          <w:rFonts w:asciiTheme="minorEastAsia" w:eastAsiaTheme="minorEastAsia" w:hAnsiTheme="minorEastAsia"/>
          <w:b/>
          <w:sz w:val="30"/>
          <w:szCs w:val="30"/>
        </w:rPr>
      </w:pPr>
      <w:r w:rsidRPr="00415B86">
        <w:rPr>
          <w:rFonts w:asciiTheme="minorEastAsia" w:eastAsiaTheme="minorEastAsia" w:hAnsiTheme="minorEastAsia" w:hint="eastAsia"/>
          <w:b/>
          <w:sz w:val="30"/>
          <w:szCs w:val="30"/>
        </w:rPr>
        <w:t>附件三：</w:t>
      </w:r>
    </w:p>
    <w:p w:rsidR="00D375C4" w:rsidRPr="00600845" w:rsidRDefault="00D375C4" w:rsidP="00D375C4">
      <w:pPr>
        <w:pStyle w:val="a3"/>
        <w:shd w:val="clear" w:color="auto" w:fill="FFFFFF"/>
        <w:spacing w:before="0" w:beforeAutospacing="0" w:after="75" w:afterAutospacing="0" w:line="600" w:lineRule="atLeast"/>
        <w:jc w:val="center"/>
        <w:rPr>
          <w:rFonts w:asciiTheme="minorEastAsia" w:eastAsiaTheme="minorEastAsia" w:hAnsiTheme="minorEastAsia"/>
          <w:b/>
          <w:sz w:val="32"/>
          <w:szCs w:val="32"/>
        </w:rPr>
      </w:pPr>
      <w:r w:rsidRPr="00600845">
        <w:rPr>
          <w:rFonts w:asciiTheme="minorEastAsia" w:eastAsiaTheme="minorEastAsia" w:hAnsiTheme="minorEastAsia" w:hint="eastAsia"/>
          <w:b/>
          <w:sz w:val="32"/>
          <w:szCs w:val="32"/>
        </w:rPr>
        <w:t>关于资管产品增值税有关问题的通知</w:t>
      </w:r>
    </w:p>
    <w:p w:rsidR="00D375C4" w:rsidRPr="00600845" w:rsidRDefault="00D375C4" w:rsidP="00D375C4">
      <w:pPr>
        <w:pStyle w:val="a3"/>
        <w:shd w:val="clear" w:color="auto" w:fill="FFFFFF"/>
        <w:spacing w:before="0" w:beforeAutospacing="0" w:after="75" w:afterAutospacing="0" w:line="360" w:lineRule="atLeast"/>
        <w:jc w:val="center"/>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财税</w:t>
      </w:r>
      <w:r w:rsidR="00AC2DAC">
        <w:rPr>
          <w:rFonts w:asciiTheme="minorEastAsia" w:eastAsiaTheme="minorEastAsia" w:hAnsiTheme="minorEastAsia" w:hint="eastAsia"/>
          <w:sz w:val="28"/>
          <w:szCs w:val="28"/>
        </w:rPr>
        <w:t>[</w:t>
      </w:r>
      <w:r w:rsidRPr="00600845">
        <w:rPr>
          <w:rFonts w:asciiTheme="minorEastAsia" w:eastAsiaTheme="minorEastAsia" w:hAnsiTheme="minorEastAsia" w:hint="eastAsia"/>
          <w:sz w:val="28"/>
          <w:szCs w:val="28"/>
        </w:rPr>
        <w:t>2017</w:t>
      </w:r>
      <w:r w:rsidR="00AC2DAC">
        <w:rPr>
          <w:rFonts w:asciiTheme="minorEastAsia" w:eastAsiaTheme="minorEastAsia" w:hAnsiTheme="minorEastAsia" w:hint="eastAsia"/>
          <w:sz w:val="28"/>
          <w:szCs w:val="28"/>
        </w:rPr>
        <w:t>]</w:t>
      </w:r>
      <w:r w:rsidRPr="00600845">
        <w:rPr>
          <w:rFonts w:asciiTheme="minorEastAsia" w:eastAsiaTheme="minorEastAsia" w:hAnsiTheme="minorEastAsia" w:hint="eastAsia"/>
          <w:sz w:val="28"/>
          <w:szCs w:val="28"/>
        </w:rPr>
        <w:t>56号</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各省、自治区、直辖市、计划单列市财政厅（局）、国家税务局、地方税务局，新疆生产建设兵团财务局：</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现将资管产品增值税有关问题通知如下：</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一、资管产品管理人（以下称管理人）运营资管产品过程中发生的增值税应税行为（以下称资管产品运营业务），暂适用简易计税方法，按照3%的征收率缴纳增值税。</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资管产品管理人，包括银行、信托公司、公募基金管理公司及其子公司、证券公司及其子公司、期货公司及其子公司、私募基金管理人、保险资产管理公司、专业保险资产管理机构、养老保险公司。</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资管产品，包括银行理财产品、资金信托（包括集合资金信托、单一资金信托）、财产权信托、公开募集证券投资基金、特定客户资产管理计划、集合资产管理计划、定向资产管理计划、私募投资基金、债权投资计划、股权投资计划、股债结合型投资计划、资产支持计划、组合类保险资产管理产品、养老保障管理产品。</w:t>
      </w:r>
      <w:r w:rsidR="00E61D15" w:rsidRPr="00600845">
        <w:rPr>
          <w:rFonts w:asciiTheme="minorEastAsia" w:eastAsiaTheme="minorEastAsia" w:hAnsiTheme="minorEastAsia" w:hint="eastAsia"/>
          <w:sz w:val="28"/>
          <w:szCs w:val="28"/>
        </w:rPr>
        <w:t xml:space="preserve">  </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财政部和税务总局规定的其他资管产品管理人及资管产品。</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二、管理人接受投资者委托或信托对受托资产提供的管理服务以及管理人发生的除本通知第一条规定的其他增值税应税行为（以下称其他业务），按照现行规定缴纳增值税。</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lastRenderedPageBreak/>
        <w:t xml:space="preserve">　　三、管理人应分别核算资管产品运营业务和其他业务的销售额和增值税应纳税额。未分别核算的，资管产品运营业务不得适用本通知第一条规定。</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四、管理人可选择分别或汇总核算资管产品运营业务销售额和增值税应纳税额。</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五、管理人应按照规定的纳税期限，汇总申报缴纳资管产品运营业务和其他业务增值税。</w:t>
      </w:r>
    </w:p>
    <w:p w:rsidR="00D375C4" w:rsidRPr="00600845" w:rsidRDefault="00D375C4" w:rsidP="00D375C4">
      <w:pPr>
        <w:pStyle w:val="a3"/>
        <w:shd w:val="clear" w:color="auto" w:fill="FFFFFF"/>
        <w:spacing w:before="0" w:beforeAutospacing="0" w:after="75" w:afterAutospacing="0" w:line="432" w:lineRule="atLeas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 xml:space="preserve">　　六、本通知自2018年1月1日起施行。</w:t>
      </w:r>
    </w:p>
    <w:p w:rsidR="00D375C4" w:rsidRDefault="00D375C4" w:rsidP="00600845">
      <w:pPr>
        <w:pStyle w:val="a3"/>
        <w:shd w:val="clear" w:color="auto" w:fill="FFFFFF"/>
        <w:spacing w:before="0" w:beforeAutospacing="0" w:after="75" w:afterAutospacing="0" w:line="432" w:lineRule="atLeast"/>
        <w:ind w:firstLine="555"/>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对资管产品在2018年1月1日前运营过程中发生的增值税应税行为，未缴纳增值税的，不再缴纳；已缴纳增值税的，已纳税额从资管产品管理人以后月份的增值税应纳税额中抵减。</w:t>
      </w:r>
    </w:p>
    <w:p w:rsidR="00600845" w:rsidRDefault="00600845" w:rsidP="00600845">
      <w:pPr>
        <w:pStyle w:val="a3"/>
        <w:shd w:val="clear" w:color="auto" w:fill="FFFFFF"/>
        <w:spacing w:before="0" w:beforeAutospacing="0" w:after="75" w:afterAutospacing="0" w:line="432" w:lineRule="atLeast"/>
        <w:ind w:firstLine="555"/>
        <w:rPr>
          <w:rFonts w:asciiTheme="minorEastAsia" w:eastAsiaTheme="minorEastAsia" w:hAnsiTheme="minorEastAsia"/>
          <w:sz w:val="28"/>
          <w:szCs w:val="28"/>
        </w:rPr>
      </w:pPr>
    </w:p>
    <w:p w:rsidR="00600845" w:rsidRDefault="00600845" w:rsidP="00600845">
      <w:pPr>
        <w:pStyle w:val="a3"/>
        <w:shd w:val="clear" w:color="auto" w:fill="FFFFFF"/>
        <w:spacing w:before="0" w:beforeAutospacing="0" w:after="75" w:afterAutospacing="0" w:line="432" w:lineRule="atLeast"/>
        <w:ind w:firstLine="555"/>
        <w:rPr>
          <w:rFonts w:asciiTheme="minorEastAsia" w:eastAsiaTheme="minorEastAsia" w:hAnsiTheme="minorEastAsia"/>
          <w:sz w:val="28"/>
          <w:szCs w:val="28"/>
        </w:rPr>
      </w:pPr>
    </w:p>
    <w:p w:rsidR="00600845" w:rsidRPr="00600845" w:rsidRDefault="00600845" w:rsidP="00600845">
      <w:pPr>
        <w:pStyle w:val="a3"/>
        <w:shd w:val="clear" w:color="auto" w:fill="FFFFFF"/>
        <w:spacing w:before="0" w:beforeAutospacing="0" w:after="75" w:afterAutospacing="0" w:line="432" w:lineRule="atLeast"/>
        <w:ind w:firstLine="555"/>
        <w:rPr>
          <w:rFonts w:asciiTheme="minorEastAsia" w:eastAsiaTheme="minorEastAsia" w:hAnsiTheme="minorEastAsia"/>
          <w:sz w:val="28"/>
          <w:szCs w:val="28"/>
        </w:rPr>
      </w:pPr>
    </w:p>
    <w:p w:rsidR="00D375C4" w:rsidRPr="00600845" w:rsidRDefault="00D375C4" w:rsidP="00D375C4">
      <w:pPr>
        <w:pStyle w:val="a3"/>
        <w:shd w:val="clear" w:color="auto" w:fill="FFFFFF"/>
        <w:spacing w:before="0" w:beforeAutospacing="0" w:after="75" w:afterAutospacing="0" w:line="432" w:lineRule="atLeast"/>
        <w:jc w:val="righ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财政部 税务总局</w:t>
      </w:r>
    </w:p>
    <w:p w:rsidR="00D375C4" w:rsidRPr="00600845" w:rsidRDefault="00D375C4" w:rsidP="00D375C4">
      <w:pPr>
        <w:pStyle w:val="a3"/>
        <w:shd w:val="clear" w:color="auto" w:fill="FFFFFF"/>
        <w:spacing w:before="0" w:beforeAutospacing="0" w:after="75" w:afterAutospacing="0" w:line="432" w:lineRule="atLeast"/>
        <w:jc w:val="right"/>
        <w:rPr>
          <w:rFonts w:asciiTheme="minorEastAsia" w:eastAsiaTheme="minorEastAsia" w:hAnsiTheme="minorEastAsia"/>
          <w:sz w:val="28"/>
          <w:szCs w:val="28"/>
        </w:rPr>
      </w:pPr>
      <w:r w:rsidRPr="00600845">
        <w:rPr>
          <w:rFonts w:asciiTheme="minorEastAsia" w:eastAsiaTheme="minorEastAsia" w:hAnsiTheme="minorEastAsia" w:hint="eastAsia"/>
          <w:sz w:val="28"/>
          <w:szCs w:val="28"/>
        </w:rPr>
        <w:t>2017年6月30日</w:t>
      </w:r>
    </w:p>
    <w:p w:rsidR="00247B75" w:rsidRDefault="00016E79"/>
    <w:sectPr w:rsidR="00247B75" w:rsidSect="00664C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E79" w:rsidRDefault="00016E79" w:rsidP="00C569CF">
      <w:r>
        <w:separator/>
      </w:r>
    </w:p>
  </w:endnote>
  <w:endnote w:type="continuationSeparator" w:id="0">
    <w:p w:rsidR="00016E79" w:rsidRDefault="00016E79" w:rsidP="00C569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E79" w:rsidRDefault="00016E79" w:rsidP="00C569CF">
      <w:r>
        <w:separator/>
      </w:r>
    </w:p>
  </w:footnote>
  <w:footnote w:type="continuationSeparator" w:id="0">
    <w:p w:rsidR="00016E79" w:rsidRDefault="00016E79" w:rsidP="00C569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75C4"/>
    <w:rsid w:val="00016E79"/>
    <w:rsid w:val="001B6028"/>
    <w:rsid w:val="00213BBA"/>
    <w:rsid w:val="002614D3"/>
    <w:rsid w:val="00415B86"/>
    <w:rsid w:val="005B472A"/>
    <w:rsid w:val="00600845"/>
    <w:rsid w:val="0066170A"/>
    <w:rsid w:val="00664C26"/>
    <w:rsid w:val="009E0751"/>
    <w:rsid w:val="00A02121"/>
    <w:rsid w:val="00AC2DAC"/>
    <w:rsid w:val="00B471A4"/>
    <w:rsid w:val="00C21EFD"/>
    <w:rsid w:val="00C569CF"/>
    <w:rsid w:val="00D375C4"/>
    <w:rsid w:val="00D96AD2"/>
    <w:rsid w:val="00DE571C"/>
    <w:rsid w:val="00E61D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C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75C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375C4"/>
    <w:rPr>
      <w:color w:val="0000FF"/>
      <w:u w:val="single"/>
    </w:rPr>
  </w:style>
  <w:style w:type="character" w:customStyle="1" w:styleId="apple-converted-space">
    <w:name w:val="apple-converted-space"/>
    <w:basedOn w:val="a0"/>
    <w:rsid w:val="00D375C4"/>
  </w:style>
  <w:style w:type="paragraph" w:styleId="a5">
    <w:name w:val="header"/>
    <w:basedOn w:val="a"/>
    <w:link w:val="Char"/>
    <w:uiPriority w:val="99"/>
    <w:semiHidden/>
    <w:unhideWhenUsed/>
    <w:rsid w:val="00C569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569CF"/>
    <w:rPr>
      <w:sz w:val="18"/>
      <w:szCs w:val="18"/>
    </w:rPr>
  </w:style>
  <w:style w:type="paragraph" w:styleId="a6">
    <w:name w:val="footer"/>
    <w:basedOn w:val="a"/>
    <w:link w:val="Char0"/>
    <w:uiPriority w:val="99"/>
    <w:semiHidden/>
    <w:unhideWhenUsed/>
    <w:rsid w:val="00C569C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569CF"/>
    <w:rPr>
      <w:sz w:val="18"/>
      <w:szCs w:val="18"/>
    </w:rPr>
  </w:style>
</w:styles>
</file>

<file path=word/webSettings.xml><?xml version="1.0" encoding="utf-8"?>
<w:webSettings xmlns:r="http://schemas.openxmlformats.org/officeDocument/2006/relationships" xmlns:w="http://schemas.openxmlformats.org/wordprocessingml/2006/main">
  <w:divs>
    <w:div w:id="374351680">
      <w:bodyDiv w:val="1"/>
      <w:marLeft w:val="0"/>
      <w:marRight w:val="0"/>
      <w:marTop w:val="0"/>
      <w:marBottom w:val="0"/>
      <w:divBdr>
        <w:top w:val="none" w:sz="0" w:space="0" w:color="auto"/>
        <w:left w:val="none" w:sz="0" w:space="0" w:color="auto"/>
        <w:bottom w:val="none" w:sz="0" w:space="0" w:color="auto"/>
        <w:right w:val="none" w:sz="0" w:space="0" w:color="auto"/>
      </w:divBdr>
      <w:divsChild>
        <w:div w:id="121000693">
          <w:marLeft w:val="0"/>
          <w:marRight w:val="0"/>
          <w:marTop w:val="0"/>
          <w:marBottom w:val="0"/>
          <w:divBdr>
            <w:top w:val="none" w:sz="0" w:space="0" w:color="auto"/>
            <w:left w:val="none" w:sz="0" w:space="0" w:color="auto"/>
            <w:bottom w:val="single" w:sz="8" w:space="0" w:color="F0F0F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zl1</dc:creator>
  <cp:lastModifiedBy>李淑青</cp:lastModifiedBy>
  <cp:revision>6</cp:revision>
  <cp:lastPrinted>2018-03-05T01:46:00Z</cp:lastPrinted>
  <dcterms:created xsi:type="dcterms:W3CDTF">2018-02-28T08:09:00Z</dcterms:created>
  <dcterms:modified xsi:type="dcterms:W3CDTF">2018-03-09T01:28:00Z</dcterms:modified>
</cp:coreProperties>
</file>