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694C" w:rsidRPr="001B7179" w:rsidRDefault="00EA694C" w:rsidP="00EA694C">
      <w:pPr>
        <w:rPr>
          <w:rFonts w:asciiTheme="minorEastAsia" w:hAnsiTheme="minorEastAsia"/>
        </w:rPr>
      </w:pPr>
    </w:p>
    <w:p w:rsidR="00EA694C" w:rsidRPr="00891FCE" w:rsidRDefault="00EA694C" w:rsidP="00EA694C">
      <w:pPr>
        <w:jc w:val="center"/>
        <w:rPr>
          <w:rFonts w:asciiTheme="minorEastAsia" w:hAnsiTheme="minorEastAsia"/>
          <w:b/>
          <w:sz w:val="32"/>
          <w:szCs w:val="32"/>
        </w:rPr>
      </w:pPr>
      <w:r w:rsidRPr="00891FCE">
        <w:rPr>
          <w:rFonts w:asciiTheme="minorEastAsia" w:hAnsiTheme="minorEastAsia" w:hint="eastAsia"/>
          <w:b/>
          <w:sz w:val="32"/>
          <w:szCs w:val="32"/>
        </w:rPr>
        <w:t>关于明确金融 房地产开发 教育辅助服务等增值税政策的通知</w:t>
      </w:r>
    </w:p>
    <w:p w:rsidR="00EA694C" w:rsidRPr="00891FCE" w:rsidRDefault="00EA694C" w:rsidP="00EA694C">
      <w:pPr>
        <w:jc w:val="center"/>
        <w:rPr>
          <w:rFonts w:asciiTheme="minorEastAsia" w:hAnsiTheme="minorEastAsia"/>
          <w:sz w:val="28"/>
          <w:szCs w:val="28"/>
        </w:rPr>
      </w:pPr>
      <w:r w:rsidRPr="00891FCE">
        <w:rPr>
          <w:rFonts w:asciiTheme="minorEastAsia" w:hAnsiTheme="minorEastAsia" w:hint="eastAsia"/>
          <w:sz w:val="28"/>
          <w:szCs w:val="28"/>
        </w:rPr>
        <w:t>财税[2016]140号</w:t>
      </w:r>
    </w:p>
    <w:p w:rsidR="00EA694C" w:rsidRPr="001B7179" w:rsidRDefault="00EA694C" w:rsidP="00EA694C">
      <w:pPr>
        <w:rPr>
          <w:rFonts w:asciiTheme="minorEastAsia" w:hAnsiTheme="minorEastAsia"/>
          <w:sz w:val="24"/>
          <w:szCs w:val="24"/>
        </w:rPr>
      </w:pPr>
    </w:p>
    <w:p w:rsidR="00EA694C" w:rsidRPr="00891FCE" w:rsidRDefault="00EA694C" w:rsidP="00891FCE">
      <w:pPr>
        <w:ind w:firstLineChars="200" w:firstLine="560"/>
        <w:rPr>
          <w:rFonts w:asciiTheme="minorEastAsia" w:hAnsiTheme="minorEastAsia"/>
          <w:sz w:val="28"/>
          <w:szCs w:val="28"/>
        </w:rPr>
      </w:pPr>
      <w:r w:rsidRPr="00891FCE">
        <w:rPr>
          <w:rFonts w:asciiTheme="minorEastAsia" w:hAnsiTheme="minorEastAsia" w:hint="eastAsia"/>
          <w:sz w:val="28"/>
          <w:szCs w:val="28"/>
        </w:rPr>
        <w:t>各省、自治区、直辖市、计划单列市财政厅（局）、国家税务局，地方税务局，新疆生产建设兵团财务局：</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现将营改增试点期间有关金融、房地产开发、教育辅助服务等政策补充通知如下：</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一、《销售服务、无形资产、不动产注释》（财税〔2016〕36号）第一条第（五）项第1点所称“保本收益、报酬、资金占用费、补偿金”，是指合同中明确承诺到期本金可全部收回的投资收益。金融商品持有期间（含到期）取得的非保本的上述收益,不属于利息或利息性质的收入，不征收增值税。</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二、纳税人购入基金、信托、理财产品等各类资产管理产品持有至到期，不属于《销售服务、无形资产、不动产注释》（财税〔2016〕36号）第一条第（五）项第4点所称的金融商品转让。</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三、证券公司、保险公司、金融租赁公司、证券基金管理公司、证券投资基金以及其他经人民银行、银监会、证监会、保监会批准成立且经营金融保险业务的机构发放贷款后,自结息日起90天内发生的应收未收利息按现行规定缴纳增值税，自结息日起90天后发生的应收未收利息暂不缴纳增值税，待实际收到利息时按规定缴纳增值税。</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四、资管产品运营过程中发生的增值税应税行为，以资管产品管</w:t>
      </w:r>
      <w:r w:rsidRPr="00891FCE">
        <w:rPr>
          <w:rFonts w:asciiTheme="minorEastAsia" w:hAnsiTheme="minorEastAsia" w:hint="eastAsia"/>
          <w:sz w:val="28"/>
          <w:szCs w:val="28"/>
        </w:rPr>
        <w:lastRenderedPageBreak/>
        <w:t>理人为增值税纳税人。</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五、纳税人2016年1-4月份转让金融商品出现的负差，可结转下一纳税期，与2016年5-12月份转让金融商品销售额相抵。</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六、《财政部 国家税务总局关于全面推开营业税改征增值税试点的通知》（财税〔2016〕36号）所称“人民银行、银监会或者商务部批准”、“商务部授权的省级商务主管部门和国家经济技术开发区批准”从事融资租赁业务（含融资性售后回租业务）的试点纳税人（含试点纳税人中的一般纳税人），包括经上述部门备案从事融资租赁业务的试点纳税人。</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七、《营业税改征增值税试点有关事项的规定》（财税〔2016〕36号）第一条第（三）项第 10点中“向政府部门支付的土地价款”，包括土地受让人向政府部门支付的征地和拆迁补偿费用、土地前期开发费用和土地出让收益等。</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房地产开发企业中的一般纳税人销售其开发的房地产项目（选择简易计税方法的房地产老项目除外），在取得土地时向其他单位或个人支付的拆迁补偿费用也允许在计算销售额时扣除。纳税人按上述规定扣除拆迁补偿费用时，应提供拆迁协议、拆迁双方支付和取得拆迁补偿费用凭证等能够证明拆迁补偿费用真实性的材料。</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八、房地产开发企业（包括多个房地产开发企业组成的联合体）受让土地向政府部门支付土地价款后，设立项目公司对该受让土地进行开发，同时符合下列条件的，可由项目公司按规定扣除房地产开发企业向政府部门支付的土地价款。</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lastRenderedPageBreak/>
        <w:t xml:space="preserve">　　（一）房地产开发企业、项目公司、政府部门三方签订变更协议或补充合同，将土地受让人变更为项目公司;</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（二）政府部门出让土地的用途、规划等条件不变的情况下，签署变更协议或补充合同时，土地价款总额不变；</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（三）项目公司的全部股权由受让土地的房地产开发企业持有。</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九、提供餐饮服务的纳税人销售的外卖食品，按照“餐饮服务”缴纳增值税。</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十、宾馆、旅馆、旅社、度假村和其他经营性住宿场所提供会议场地及配套服务的活动，按照“会议展览服务”缴纳增值税。</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十一、纳税人在游览场所经营索道、摆渡车、电瓶车、游船等取得的收入，按照“文化体育服务”缴纳增值税。</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十二、非企业性单位中的一般纳税人提供的研发和技术服务、信息技术服务、鉴证咨询服务，以及销售技术、著作权等无形资产，可以选择简易计税方法按照3%征收率计算缴纳增值税。</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非企业性单位中的一般纳税人提供《营业税改征增值税试点过渡政策的规定》（财税〔2016〕36号）第一条第（二十六）项中的“技术转让、技术开发和与之相关的技术咨询、技术服务”，可以参照上述规定，选择简易计税方法按照3%征收率计算缴纳增值税。</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十三、一般纳税人提供教育辅助服务，可以选择简易计税方法按照3%征收率计算缴纳增值税。</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十四、纳税人提供武装守护押运服务，按照“安全保护服务”缴纳增值税。</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lastRenderedPageBreak/>
        <w:t xml:space="preserve">　　十五、物业服务企业为业主提供的装修服务，按照“建筑服务”缴纳增值税。</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十六、纳税人将建筑施工设备出租给他人使用并配备操作人员的，按照“建筑服务”缴纳增值税。</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十七、自2017年1月1日起，生产企业销售自产的海洋工程结构物，或者融资租赁企业及其设立的项目子公司、金融租赁公司及其设立的项目子公司购买并以融资租赁方式出租的国内生产企业生产的海洋工程结构物，应按规定缴纳增值税，不再适用《财政部国家税务总局关于出口货物劳务增值税和消费税政策的通知》（财税〔2012〕39号）或者《财政部国家税务总局关于在全国开展融资租赁货物出口退税政策试点的通知》（财税〔2014〕62号）规定的增值税出口退税政策，但购买方或者承租方为按实物征收增值税的中外合作油（气）田开采企业的除外。</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2017年1月1日前签订的海洋工程结构物销售合同或者融资租赁合同,在合同到期前,可继续按现行相关出口退税政策执行。</w:t>
      </w:r>
    </w:p>
    <w:p w:rsidR="00EA694C" w:rsidRPr="00891FCE" w:rsidRDefault="00EA694C" w:rsidP="00EA694C">
      <w:pPr>
        <w:rPr>
          <w:rFonts w:asciiTheme="minorEastAsia" w:hAnsiTheme="minorEastAsia"/>
          <w:sz w:val="28"/>
          <w:szCs w:val="28"/>
        </w:rPr>
      </w:pPr>
      <w:r w:rsidRPr="00891FCE">
        <w:rPr>
          <w:rFonts w:asciiTheme="minorEastAsia" w:hAnsiTheme="minorEastAsia" w:hint="eastAsia"/>
          <w:sz w:val="28"/>
          <w:szCs w:val="28"/>
        </w:rPr>
        <w:t xml:space="preserve">　　十八、本通知除第十七条规定的政策外，其他均自2016年5月1日起执行。此前已征的应予免征或不征的增值税，可抵减纳税人以后月份应缴纳的增值税。</w:t>
      </w:r>
    </w:p>
    <w:p w:rsidR="00EA694C" w:rsidRDefault="00EA694C" w:rsidP="00EA694C">
      <w:pPr>
        <w:jc w:val="right"/>
        <w:rPr>
          <w:rFonts w:asciiTheme="minorEastAsia" w:hAnsiTheme="minorEastAsia" w:hint="eastAsia"/>
          <w:sz w:val="28"/>
          <w:szCs w:val="28"/>
        </w:rPr>
      </w:pPr>
    </w:p>
    <w:p w:rsidR="00891FCE" w:rsidRPr="00891FCE" w:rsidRDefault="00891FCE" w:rsidP="00EA694C">
      <w:pPr>
        <w:jc w:val="right"/>
        <w:rPr>
          <w:rFonts w:asciiTheme="minorEastAsia" w:hAnsiTheme="minorEastAsia"/>
          <w:sz w:val="28"/>
          <w:szCs w:val="28"/>
        </w:rPr>
      </w:pPr>
    </w:p>
    <w:p w:rsidR="00EA694C" w:rsidRPr="00891FCE" w:rsidRDefault="00EA694C" w:rsidP="00EA694C">
      <w:pPr>
        <w:jc w:val="right"/>
        <w:rPr>
          <w:rFonts w:asciiTheme="minorEastAsia" w:hAnsiTheme="minorEastAsia"/>
          <w:sz w:val="28"/>
          <w:szCs w:val="28"/>
        </w:rPr>
      </w:pPr>
      <w:r w:rsidRPr="00891FCE">
        <w:rPr>
          <w:rFonts w:asciiTheme="minorEastAsia" w:hAnsiTheme="minorEastAsia" w:hint="eastAsia"/>
          <w:sz w:val="28"/>
          <w:szCs w:val="28"/>
        </w:rPr>
        <w:t xml:space="preserve">  财政部     国家税务总局</w:t>
      </w:r>
    </w:p>
    <w:p w:rsidR="001115CA" w:rsidRPr="00891FCE" w:rsidRDefault="00EA694C" w:rsidP="00EA694C">
      <w:pPr>
        <w:jc w:val="right"/>
        <w:rPr>
          <w:rFonts w:asciiTheme="minorEastAsia" w:hAnsiTheme="minorEastAsia"/>
          <w:sz w:val="28"/>
          <w:szCs w:val="28"/>
        </w:rPr>
      </w:pPr>
      <w:r w:rsidRPr="00891FCE">
        <w:rPr>
          <w:rFonts w:asciiTheme="minorEastAsia" w:hAnsiTheme="minorEastAsia" w:hint="eastAsia"/>
          <w:sz w:val="28"/>
          <w:szCs w:val="28"/>
        </w:rPr>
        <w:t xml:space="preserve">　　2016年12月21日</w:t>
      </w:r>
    </w:p>
    <w:sectPr w:rsidR="001115CA" w:rsidRPr="00891FCE" w:rsidSect="004D6B4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72D" w:rsidRDefault="005A372D" w:rsidP="00EA694C">
      <w:r>
        <w:separator/>
      </w:r>
    </w:p>
  </w:endnote>
  <w:endnote w:type="continuationSeparator" w:id="0">
    <w:p w:rsidR="005A372D" w:rsidRDefault="005A372D" w:rsidP="00EA69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72D" w:rsidRDefault="005A372D" w:rsidP="00EA694C">
      <w:r>
        <w:separator/>
      </w:r>
    </w:p>
  </w:footnote>
  <w:footnote w:type="continuationSeparator" w:id="0">
    <w:p w:rsidR="005A372D" w:rsidRDefault="005A372D" w:rsidP="00EA69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77A7"/>
    <w:rsid w:val="000C0B22"/>
    <w:rsid w:val="00100F28"/>
    <w:rsid w:val="001115CA"/>
    <w:rsid w:val="001B7179"/>
    <w:rsid w:val="001F6B21"/>
    <w:rsid w:val="0028772E"/>
    <w:rsid w:val="00290E9E"/>
    <w:rsid w:val="002B1D9E"/>
    <w:rsid w:val="00327F49"/>
    <w:rsid w:val="003F4824"/>
    <w:rsid w:val="004713CC"/>
    <w:rsid w:val="004A5AD2"/>
    <w:rsid w:val="004D6B48"/>
    <w:rsid w:val="005A372D"/>
    <w:rsid w:val="005E791C"/>
    <w:rsid w:val="006764D4"/>
    <w:rsid w:val="00757031"/>
    <w:rsid w:val="0076408D"/>
    <w:rsid w:val="00793D07"/>
    <w:rsid w:val="00833327"/>
    <w:rsid w:val="00891FCE"/>
    <w:rsid w:val="008D547B"/>
    <w:rsid w:val="00911FAD"/>
    <w:rsid w:val="00954A31"/>
    <w:rsid w:val="009F0351"/>
    <w:rsid w:val="00A95163"/>
    <w:rsid w:val="00AE02B4"/>
    <w:rsid w:val="00B877A7"/>
    <w:rsid w:val="00C10394"/>
    <w:rsid w:val="00C445A6"/>
    <w:rsid w:val="00D45D0F"/>
    <w:rsid w:val="00D5742F"/>
    <w:rsid w:val="00DD4B31"/>
    <w:rsid w:val="00DD5EDF"/>
    <w:rsid w:val="00EA12BB"/>
    <w:rsid w:val="00EA694C"/>
    <w:rsid w:val="00F14F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B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77A7"/>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semiHidden/>
    <w:unhideWhenUsed/>
    <w:rsid w:val="00EA69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A694C"/>
    <w:rPr>
      <w:sz w:val="18"/>
      <w:szCs w:val="18"/>
    </w:rPr>
  </w:style>
  <w:style w:type="paragraph" w:styleId="a5">
    <w:name w:val="footer"/>
    <w:basedOn w:val="a"/>
    <w:link w:val="Char0"/>
    <w:uiPriority w:val="99"/>
    <w:semiHidden/>
    <w:unhideWhenUsed/>
    <w:rsid w:val="00EA694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A694C"/>
    <w:rPr>
      <w:sz w:val="18"/>
      <w:szCs w:val="18"/>
    </w:rPr>
  </w:style>
</w:styles>
</file>

<file path=word/webSettings.xml><?xml version="1.0" encoding="utf-8"?>
<w:webSettings xmlns:r="http://schemas.openxmlformats.org/officeDocument/2006/relationships" xmlns:w="http://schemas.openxmlformats.org/wordprocessingml/2006/main">
  <w:divs>
    <w:div w:id="962929574">
      <w:bodyDiv w:val="1"/>
      <w:marLeft w:val="0"/>
      <w:marRight w:val="0"/>
      <w:marTop w:val="0"/>
      <w:marBottom w:val="0"/>
      <w:divBdr>
        <w:top w:val="none" w:sz="0" w:space="0" w:color="auto"/>
        <w:left w:val="none" w:sz="0" w:space="0" w:color="auto"/>
        <w:bottom w:val="none" w:sz="0" w:space="0" w:color="auto"/>
        <w:right w:val="none" w:sz="0" w:space="0" w:color="auto"/>
      </w:divBdr>
      <w:divsChild>
        <w:div w:id="1474057250">
          <w:marLeft w:val="0"/>
          <w:marRight w:val="0"/>
          <w:marTop w:val="0"/>
          <w:marBottom w:val="0"/>
          <w:divBdr>
            <w:top w:val="none" w:sz="0" w:space="0" w:color="auto"/>
            <w:left w:val="none" w:sz="0" w:space="0" w:color="auto"/>
            <w:bottom w:val="none" w:sz="0" w:space="0" w:color="auto"/>
            <w:right w:val="none" w:sz="0" w:space="0" w:color="auto"/>
          </w:divBdr>
          <w:divsChild>
            <w:div w:id="10687282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886790954">
      <w:bodyDiv w:val="1"/>
      <w:marLeft w:val="0"/>
      <w:marRight w:val="0"/>
      <w:marTop w:val="0"/>
      <w:marBottom w:val="0"/>
      <w:divBdr>
        <w:top w:val="none" w:sz="0" w:space="0" w:color="auto"/>
        <w:left w:val="none" w:sz="0" w:space="0" w:color="auto"/>
        <w:bottom w:val="none" w:sz="0" w:space="0" w:color="auto"/>
        <w:right w:val="none" w:sz="0" w:space="0" w:color="auto"/>
      </w:divBdr>
      <w:divsChild>
        <w:div w:id="807239305">
          <w:marLeft w:val="0"/>
          <w:marRight w:val="0"/>
          <w:marTop w:val="0"/>
          <w:marBottom w:val="0"/>
          <w:divBdr>
            <w:top w:val="none" w:sz="0" w:space="0" w:color="auto"/>
            <w:left w:val="none" w:sz="0" w:space="0" w:color="auto"/>
            <w:bottom w:val="none" w:sz="0" w:space="0" w:color="auto"/>
            <w:right w:val="none" w:sz="0" w:space="0" w:color="auto"/>
          </w:divBdr>
          <w:divsChild>
            <w:div w:id="981496327">
              <w:marLeft w:val="0"/>
              <w:marRight w:val="0"/>
              <w:marTop w:val="0"/>
              <w:marBottom w:val="0"/>
              <w:divBdr>
                <w:top w:val="none" w:sz="0" w:space="0" w:color="auto"/>
                <w:left w:val="none" w:sz="0" w:space="0" w:color="auto"/>
                <w:bottom w:val="none" w:sz="0" w:space="0" w:color="auto"/>
                <w:right w:val="none" w:sz="0" w:space="0" w:color="auto"/>
              </w:divBdr>
              <w:divsChild>
                <w:div w:id="141820513">
                  <w:marLeft w:val="0"/>
                  <w:marRight w:val="0"/>
                  <w:marTop w:val="0"/>
                  <w:marBottom w:val="0"/>
                  <w:divBdr>
                    <w:top w:val="none" w:sz="0" w:space="0" w:color="auto"/>
                    <w:left w:val="none" w:sz="0" w:space="0" w:color="auto"/>
                    <w:bottom w:val="none" w:sz="0" w:space="0" w:color="auto"/>
                    <w:right w:val="none" w:sz="0" w:space="0" w:color="auto"/>
                  </w:divBdr>
                  <w:divsChild>
                    <w:div w:id="1356611278">
                      <w:marLeft w:val="150"/>
                      <w:marRight w:val="0"/>
                      <w:marTop w:val="0"/>
                      <w:marBottom w:val="0"/>
                      <w:divBdr>
                        <w:top w:val="none" w:sz="0" w:space="0" w:color="auto"/>
                        <w:left w:val="none" w:sz="0" w:space="0" w:color="auto"/>
                        <w:bottom w:val="none" w:sz="0" w:space="0" w:color="auto"/>
                        <w:right w:val="none" w:sz="0" w:space="0" w:color="auto"/>
                      </w:divBdr>
                      <w:divsChild>
                        <w:div w:id="213541400">
                          <w:marLeft w:val="0"/>
                          <w:marRight w:val="0"/>
                          <w:marTop w:val="0"/>
                          <w:marBottom w:val="150"/>
                          <w:divBdr>
                            <w:top w:val="none" w:sz="0" w:space="0" w:color="auto"/>
                            <w:left w:val="none" w:sz="0" w:space="0" w:color="auto"/>
                            <w:bottom w:val="none" w:sz="0" w:space="0" w:color="auto"/>
                            <w:right w:val="none" w:sz="0" w:space="0" w:color="auto"/>
                          </w:divBdr>
                          <w:divsChild>
                            <w:div w:id="568658541">
                              <w:marLeft w:val="0"/>
                              <w:marRight w:val="0"/>
                              <w:marTop w:val="0"/>
                              <w:marBottom w:val="0"/>
                              <w:divBdr>
                                <w:top w:val="none" w:sz="0" w:space="0" w:color="auto"/>
                                <w:left w:val="none" w:sz="0" w:space="0" w:color="auto"/>
                                <w:bottom w:val="none" w:sz="0" w:space="0" w:color="auto"/>
                                <w:right w:val="none" w:sz="0" w:space="0" w:color="auto"/>
                              </w:divBdr>
                              <w:divsChild>
                                <w:div w:id="445857667">
                                  <w:marLeft w:val="0"/>
                                  <w:marRight w:val="0"/>
                                  <w:marTop w:val="0"/>
                                  <w:marBottom w:val="0"/>
                                  <w:divBdr>
                                    <w:top w:val="none" w:sz="0" w:space="0" w:color="auto"/>
                                    <w:left w:val="none" w:sz="0" w:space="0" w:color="auto"/>
                                    <w:bottom w:val="none" w:sz="0" w:space="0" w:color="auto"/>
                                    <w:right w:val="none" w:sz="0" w:space="0" w:color="auto"/>
                                  </w:divBdr>
                                  <w:divsChild>
                                    <w:div w:id="93980339">
                                      <w:marLeft w:val="0"/>
                                      <w:marRight w:val="0"/>
                                      <w:marTop w:val="0"/>
                                      <w:marBottom w:val="0"/>
                                      <w:divBdr>
                                        <w:top w:val="none" w:sz="0" w:space="0" w:color="auto"/>
                                        <w:left w:val="none" w:sz="0" w:space="0" w:color="auto"/>
                                        <w:bottom w:val="none" w:sz="0" w:space="0" w:color="auto"/>
                                        <w:right w:val="none" w:sz="0" w:space="0" w:color="auto"/>
                                      </w:divBdr>
                                      <w:divsChild>
                                        <w:div w:id="1499810918">
                                          <w:marLeft w:val="0"/>
                                          <w:marRight w:val="0"/>
                                          <w:marTop w:val="0"/>
                                          <w:marBottom w:val="0"/>
                                          <w:divBdr>
                                            <w:top w:val="none" w:sz="0" w:space="0" w:color="auto"/>
                                            <w:left w:val="none" w:sz="0" w:space="0" w:color="auto"/>
                                            <w:bottom w:val="none" w:sz="0" w:space="0" w:color="auto"/>
                                            <w:right w:val="none" w:sz="0" w:space="0" w:color="auto"/>
                                          </w:divBdr>
                                          <w:divsChild>
                                            <w:div w:id="161520810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李淑青</dc:creator>
  <cp:lastModifiedBy>李淑青</cp:lastModifiedBy>
  <cp:revision>3</cp:revision>
  <dcterms:created xsi:type="dcterms:W3CDTF">2017-03-21T06:40:00Z</dcterms:created>
  <dcterms:modified xsi:type="dcterms:W3CDTF">2018-03-09T01:27:00Z</dcterms:modified>
</cp:coreProperties>
</file>